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 xml:space="preserve">ДОГОВОР № </w:t>
      </w:r>
      <w:r>
        <w:rPr>
          <w:rFonts w:cs="Times New Roman"/>
          <w:b/>
          <w:bCs/>
          <w:sz w:val="25"/>
          <w:szCs w:val="25"/>
          <w:shd w:val="clear" w:color="auto" w:fill="e0c2cd"/>
        </w:rPr>
        <w:t xml:space="preserve">Номер договора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center"/>
        <w:rPr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 xml:space="preserve">розничной купли-продажи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center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</w:p>
    <w:p>
      <w:pPr>
        <w:jc w:val="both"/>
        <w:rPr>
          <w:sz w:val="25"/>
          <w:szCs w:val="25"/>
        </w:rPr>
      </w:pPr>
      <w:r>
        <w:rPr>
          <w:rFonts w:cs="Times New Roman"/>
          <w:sz w:val="25"/>
          <w:szCs w:val="25"/>
        </w:rPr>
        <w:t xml:space="preserve">г. Москва                                                                                                          </w:t>
      </w:r>
      <w:r>
        <w:rPr>
          <w:rFonts w:cs="Times New Roman"/>
          <w:sz w:val="25"/>
          <w:szCs w:val="25"/>
          <w:shd w:val="clear" w:color="auto" w:fill="e0c2cd"/>
        </w:rPr>
        <w:t xml:space="preserve"> Дата договора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both"/>
        <w:rPr>
          <w:rFonts w:cs="Times New Roman"/>
          <w:sz w:val="25"/>
          <w:szCs w:val="25"/>
          <w:shd w:val="clear" w:color="auto" w:fill="81d41a"/>
        </w:rPr>
      </w:pPr>
      <w:r>
        <w:rPr>
          <w:rFonts w:cs="Times New Roman"/>
          <w:sz w:val="25"/>
          <w:szCs w:val="25"/>
          <w:shd w:val="clear" w:color="auto" w:fill="81d41a"/>
        </w:rPr>
      </w:r>
      <w:r>
        <w:rPr>
          <w:rFonts w:cs="Times New Roman"/>
          <w:sz w:val="25"/>
          <w:szCs w:val="25"/>
          <w:shd w:val="clear" w:color="auto" w:fill="81d41a"/>
        </w:rPr>
      </w:r>
      <w:r>
        <w:rPr>
          <w:rFonts w:cs="Times New Roman"/>
          <w:sz w:val="25"/>
          <w:szCs w:val="25"/>
          <w:shd w:val="clear" w:color="auto" w:fill="81d41a"/>
        </w:rPr>
      </w:r>
    </w:p>
    <w:p>
      <w:pPr>
        <w:ind w:firstLine="737"/>
        <w:jc w:val="both"/>
        <w:rPr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 xml:space="preserve">Индивидуальный предприниматель Балаев Рауф Эльчин оглы</w:t>
      </w:r>
      <w:r>
        <w:rPr>
          <w:rFonts w:cs="Times New Roman"/>
          <w:sz w:val="25"/>
          <w:szCs w:val="25"/>
        </w:rPr>
        <w:t xml:space="preserve">, действующий от своего имени и в своих интересах, далее именуемый </w:t>
      </w:r>
      <w:r>
        <w:rPr>
          <w:rFonts w:cs="Times New Roman"/>
          <w:b/>
          <w:bCs/>
          <w:sz w:val="25"/>
          <w:szCs w:val="25"/>
        </w:rPr>
        <w:t xml:space="preserve">«Про</w:t>
      </w:r>
      <w:r>
        <w:rPr>
          <w:rFonts w:cs="Times New Roman"/>
          <w:b/>
          <w:bCs/>
          <w:sz w:val="25"/>
          <w:szCs w:val="25"/>
        </w:rPr>
        <w:t xml:space="preserve">давец»,</w:t>
      </w:r>
      <w:r>
        <w:rPr>
          <w:rFonts w:cs="Times New Roman"/>
          <w:sz w:val="25"/>
          <w:szCs w:val="25"/>
        </w:rPr>
        <w:t xml:space="preserve"> и гражданин Российской Федерации</w:t>
      </w:r>
      <w:r>
        <w:rPr>
          <w:rFonts w:cs="Times New Roman"/>
          <w:b/>
          <w:bCs/>
          <w:sz w:val="25"/>
          <w:szCs w:val="25"/>
        </w:rPr>
        <w:t xml:space="preserve"> </w:t>
      </w:r>
      <w:r>
        <w:rPr>
          <w:rFonts w:cs="Times New Roman"/>
          <w:b/>
          <w:bCs/>
          <w:sz w:val="25"/>
          <w:szCs w:val="25"/>
          <w:shd w:val="clear" w:color="auto" w:fill="e0c2cd"/>
        </w:rPr>
        <w:t xml:space="preserve">Фамилия Имя Отчество контрагента</w:t>
      </w:r>
      <w:r>
        <w:rPr>
          <w:rFonts w:cs="Times New Roman"/>
          <w:sz w:val="25"/>
          <w:szCs w:val="25"/>
        </w:rPr>
        <w:t xml:space="preserve">, далее именуемый </w:t>
      </w:r>
      <w:r>
        <w:rPr>
          <w:rFonts w:cs="Times New Roman"/>
          <w:b/>
          <w:bCs/>
          <w:sz w:val="25"/>
          <w:szCs w:val="25"/>
        </w:rPr>
        <w:t xml:space="preserve">«Покупатель»</w:t>
      </w:r>
      <w:r>
        <w:rPr>
          <w:rFonts w:cs="Times New Roman"/>
          <w:sz w:val="25"/>
          <w:szCs w:val="25"/>
        </w:rPr>
        <w:t xml:space="preserve">, действующий от своего имени и в своих интересах, совместно именуемые далее </w:t>
      </w:r>
      <w:r>
        <w:rPr>
          <w:rFonts w:cs="Times New Roman"/>
          <w:b/>
          <w:bCs/>
          <w:sz w:val="25"/>
          <w:szCs w:val="25"/>
        </w:rPr>
        <w:t xml:space="preserve">«Стороны»</w:t>
      </w:r>
      <w:r>
        <w:rPr>
          <w:rFonts w:cs="Times New Roman"/>
          <w:sz w:val="25"/>
          <w:szCs w:val="25"/>
        </w:rPr>
        <w:t xml:space="preserve">, а по отдельности </w:t>
      </w:r>
      <w:r>
        <w:rPr>
          <w:rFonts w:cs="Times New Roman"/>
          <w:b/>
          <w:bCs/>
          <w:sz w:val="25"/>
          <w:szCs w:val="25"/>
        </w:rPr>
        <w:t xml:space="preserve">«Сторона»</w:t>
      </w:r>
      <w:r>
        <w:rPr>
          <w:rFonts w:cs="Times New Roman"/>
          <w:sz w:val="25"/>
          <w:szCs w:val="25"/>
        </w:rPr>
        <w:t xml:space="preserve">, заключили настоящий договор розничной</w:t>
      </w:r>
      <w:r>
        <w:rPr>
          <w:rFonts w:cs="Times New Roman"/>
          <w:sz w:val="25"/>
          <w:szCs w:val="25"/>
        </w:rPr>
        <w:t xml:space="preserve"> купли-продажи (далее - </w:t>
      </w:r>
      <w:r>
        <w:rPr>
          <w:rFonts w:cs="Times New Roman"/>
          <w:b/>
          <w:bCs/>
          <w:sz w:val="25"/>
          <w:szCs w:val="25"/>
        </w:rPr>
        <w:t xml:space="preserve">«Договор»</w:t>
      </w:r>
      <w:r>
        <w:rPr>
          <w:rFonts w:cs="Times New Roman"/>
          <w:sz w:val="25"/>
          <w:szCs w:val="25"/>
        </w:rPr>
        <w:t xml:space="preserve">) о нижеследующем: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37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3"/>
        <w:numPr>
          <w:ilvl w:val="0"/>
          <w:numId w:val="1"/>
        </w:numPr>
        <w:jc w:val="center"/>
        <w:spacing w:line="240" w:lineRule="auto"/>
        <w:shd w:val="clear" w:color="auto" w:fill="auto"/>
        <w:tabs>
          <w:tab w:val="left" w:pos="3342" w:leader="none"/>
        </w:tabs>
        <w:rPr>
          <w:sz w:val="25"/>
          <w:szCs w:val="25"/>
        </w:rPr>
      </w:pPr>
      <w:r/>
      <w:bookmarkStart w:id="0" w:name="bookmark0"/>
      <w:r>
        <w:rPr>
          <w:spacing w:val="0"/>
          <w:sz w:val="25"/>
          <w:szCs w:val="25"/>
        </w:rPr>
        <w:t xml:space="preserve">ПРЕДМЕТ ДОГОВОРА</w:t>
      </w:r>
      <w:bookmarkEnd w:id="0"/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4"/>
        <w:numPr>
          <w:ilvl w:val="1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По настоящему Договору Продавец обязуется передать в собственность Покупателя  обусловленный Договором срок, а Покупатель обязуется принять и оплатить Товар в порядке и сроки, установлен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ные Договором следующее медицинское оборудование, медицинскую литературу, учебные пособия (далее – </w:t>
      </w:r>
      <w:r>
        <w:rPr>
          <w:rFonts w:ascii="Times New Roman" w:hAnsi="Times New Roman" w:eastAsia="Times New Roman" w:cs="Times New Roman"/>
          <w:b/>
          <w:bCs/>
          <w:sz w:val="25"/>
          <w:szCs w:val="25"/>
        </w:rPr>
        <w:t xml:space="preserve">«Товар»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):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ind w:left="0"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ind w:left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7"/>
        <w:gridCol w:w="1157"/>
        <w:gridCol w:w="3820"/>
        <w:gridCol w:w="697"/>
        <w:gridCol w:w="752"/>
        <w:gridCol w:w="1323"/>
        <w:gridCol w:w="1519"/>
      </w:tblGrid>
      <w:tr>
        <w:tblPrEx/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br/>
              <w:t xml:space="preserve">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Артикул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Наименование товара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Кол-во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Стоимость без НДС,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shd w:val="clear" w:color="auto" w:fill="e0c2cd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1</w:t>
            </w:r>
            <w:r>
              <w:rPr>
                <w:sz w:val="22"/>
                <w:szCs w:val="22"/>
                <w:shd w:val="clear" w:color="auto" w:fill="e0c2cd"/>
              </w:rPr>
            </w:r>
            <w:r>
              <w:rPr>
                <w:sz w:val="22"/>
                <w:szCs w:val="22"/>
                <w:shd w:val="clear" w:color="auto" w:fill="e0c2cd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shd w:val="clear" w:color="auto" w:fill="e0c2cd"/>
              </w:rPr>
            </w:pPr>
            <w:r>
              <w:rPr>
                <w:sz w:val="22"/>
                <w:szCs w:val="22"/>
                <w:shd w:val="clear" w:color="auto" w:fill="e0c2cd"/>
              </w:rPr>
              <w:t xml:space="preserve">60101</w:t>
            </w:r>
            <w:r>
              <w:rPr>
                <w:sz w:val="22"/>
                <w:szCs w:val="22"/>
                <w:shd w:val="clear" w:color="auto" w:fill="e0c2cd"/>
              </w:rPr>
            </w:r>
            <w:r>
              <w:rPr>
                <w:sz w:val="22"/>
                <w:szCs w:val="22"/>
                <w:shd w:val="clear" w:color="auto" w:fill="e0c2cd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6" w:type="dxa"/>
            <w:textDirection w:val="lrTb"/>
            <w:noWrap w:val="false"/>
          </w:tcPr>
          <w:p>
            <w:pPr>
              <w:pStyle w:val="880"/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Худ. сменная кисть серии "Ruzin holder"</w:t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шт.</w:t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2</w:t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2000,00</w:t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  <w:t xml:space="preserve">Не предназначен для оказания мед. услуг</w:t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  <w:r>
              <w:rPr>
                <w:rFonts w:eastAsia="Times New Roman"/>
                <w:sz w:val="22"/>
                <w:szCs w:val="22"/>
                <w:shd w:val="clear" w:color="auto" w:fill="e0c2cd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6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***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tcW w:w="57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***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36" w:type="dxa"/>
            <w:textDirection w:val="lrTb"/>
            <w:noWrap w:val="false"/>
          </w:tcPr>
          <w:p>
            <w:pPr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***</w:t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68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ИТОГО: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cW w:w="129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48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</w:r>
          </w:p>
        </w:tc>
      </w:tr>
    </w:tbl>
    <w:p>
      <w:pPr>
        <w:contextualSpacing/>
        <w:jc w:val="both"/>
        <w:widowControl w:val="off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4"/>
        <w:numPr>
          <w:ilvl w:val="1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Продавец гарантирует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Покупателю, что Товар на момент заключения Договора не заложен, не арестован и не является предметов исков третьих лиц.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1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Товар приобретается Покупателем для использования в личных, семейных, домашних целях и иного подобного использования.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1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Товар должен быть 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новым, не бывшим в употреблении, не подвергавшимся ремонту или восстановлению, не собранным из подвергавшихся ремонту или восстановлению составных частей, если иное не согласовано Сторонами в Договоре.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1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Продавец гарантирует Покупателю: 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2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соблюдение надлеж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ащих условий хранения Товара до его передачи Покупателю; 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2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соблюдение требований нормативных документов в отношении материалов и изделий, ввоз которых осуществляется на территорию Российской Федерации; 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2"/>
          <w:numId w:val="1"/>
        </w:numPr>
        <w:ind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надлежащее выполнение контроля за качеством и безопасн</w:t>
      </w:r>
      <w:r>
        <w:rPr>
          <w:rFonts w:ascii="Times New Roman" w:hAnsi="Times New Roman" w:eastAsia="Times New Roman" w:cs="Times New Roman"/>
          <w:sz w:val="25"/>
          <w:szCs w:val="25"/>
        </w:rPr>
        <w:t xml:space="preserve">остью, соблюдением требований нормативных и технических документов к условиям изготовления, хранения и оборота Товаров.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2"/>
        <w:ind w:left="709"/>
        <w:spacing w:after="0" w:line="240" w:lineRule="auto"/>
        <w:shd w:val="clear" w:color="auto" w:fill="auto"/>
        <w:tabs>
          <w:tab w:val="left" w:pos="426" w:leader="none"/>
        </w:tabs>
        <w:rPr>
          <w:spacing w:val="0"/>
          <w:sz w:val="25"/>
          <w:szCs w:val="25"/>
        </w:rPr>
      </w:pPr>
      <w:r>
        <w:rPr>
          <w:spacing w:val="0"/>
          <w:sz w:val="25"/>
          <w:szCs w:val="25"/>
        </w:rPr>
      </w:r>
      <w:r>
        <w:rPr>
          <w:spacing w:val="0"/>
          <w:sz w:val="25"/>
          <w:szCs w:val="25"/>
        </w:rPr>
      </w:r>
      <w:r>
        <w:rPr>
          <w:spacing w:val="0"/>
          <w:sz w:val="25"/>
          <w:szCs w:val="25"/>
        </w:rPr>
      </w:r>
    </w:p>
    <w:p>
      <w:pPr>
        <w:pStyle w:val="885"/>
        <w:numPr>
          <w:ilvl w:val="0"/>
          <w:numId w:val="2"/>
        </w:numPr>
        <w:ind w:right="20"/>
        <w:jc w:val="center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/>
      <w:bookmarkStart w:id="1" w:name="bookmark7"/>
      <w:r>
        <w:rPr>
          <w:spacing w:val="0"/>
          <w:sz w:val="25"/>
          <w:szCs w:val="25"/>
        </w:rPr>
        <w:t xml:space="preserve">С</w:t>
      </w:r>
      <w:bookmarkEnd w:id="1"/>
      <w:r>
        <w:rPr>
          <w:spacing w:val="0"/>
          <w:sz w:val="25"/>
          <w:szCs w:val="25"/>
        </w:rPr>
        <w:t xml:space="preserve">РОК И ПОРЯДОК ДОСТАВКИ ТОВАРА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Продавец обязуется поставить Товар в течение </w:t>
      </w:r>
      <w:r>
        <w:rPr>
          <w:b/>
          <w:bCs/>
          <w:spacing w:val="0"/>
          <w:sz w:val="25"/>
          <w:szCs w:val="25"/>
          <w:shd w:val="clear" w:color="auto" w:fill="e0c2cd"/>
        </w:rPr>
        <w:t xml:space="preserve">15</w:t>
      </w:r>
      <w:r>
        <w:rPr>
          <w:spacing w:val="0"/>
          <w:sz w:val="25"/>
          <w:szCs w:val="25"/>
          <w:shd w:val="clear" w:color="auto" w:fill="e0c2cd"/>
        </w:rPr>
        <w:t xml:space="preserve"> (пятнадцати) дней с даты поступления предоплаты на расчетный счет Продавца.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Риск случайной гибели или случайного повреждения Товара переходит к Покупателю с момента передачи ему (или иному лицу, действующему по его поручению) Товара и проставления подписи</w:t>
      </w:r>
      <w:r>
        <w:rPr>
          <w:spacing w:val="0"/>
          <w:sz w:val="25"/>
          <w:szCs w:val="25"/>
        </w:rPr>
        <w:t xml:space="preserve"> в документах, подтверждающих доставку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Обязанность Продавца передать Товар Покупателю считается исполненной с </w:t>
      </w:r>
      <w:r>
        <w:rPr>
          <w:spacing w:val="0"/>
          <w:sz w:val="25"/>
          <w:szCs w:val="25"/>
        </w:rPr>
        <w:t xml:space="preserve">момента передачи Товара перевозчику.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Доставкой заказанных Товаров курьером до места нахождения Покупателя или до пунктов самовывоза осуще</w:t>
      </w:r>
      <w:r>
        <w:rPr>
          <w:spacing w:val="0"/>
          <w:sz w:val="25"/>
          <w:szCs w:val="25"/>
        </w:rPr>
        <w:t xml:space="preserve">ствляются перевозчиком по выбору Продавца.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Продавец не несет ответственности за изменение сроков доставки в случае обстоятельств, которые он не мог ни предвидеть, ни предотвратить.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Товар при доставке вручается курьером или в пункте самовывоза лично Покупат</w:t>
      </w:r>
      <w:r>
        <w:rPr>
          <w:spacing w:val="0"/>
          <w:sz w:val="25"/>
          <w:szCs w:val="25"/>
        </w:rPr>
        <w:t xml:space="preserve">елю.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В исключительных случаях, при невозможности получения Покупателем Товара лично, он может быть по согласованию с Покупателем вручен иному лицу, которое может предоставить сведения о Заказе (номер отправления и (или) фамилия, имя и отчество Покупателя)</w:t>
      </w:r>
      <w:r>
        <w:rPr>
          <w:spacing w:val="0"/>
          <w:sz w:val="25"/>
          <w:szCs w:val="25"/>
        </w:rPr>
        <w:t xml:space="preserve">, а также оплатить курьеру или в пункте самовывоза стоимость Заказа в полном объеме. Согласование вручения Товара иному лицу производится Покупателем по телефону, электронной почте или в мессенджере.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Во избежание случаев мошенничества, а также для выполнен</w:t>
      </w:r>
      <w:r>
        <w:rPr>
          <w:spacing w:val="0"/>
          <w:sz w:val="25"/>
          <w:szCs w:val="25"/>
        </w:rPr>
        <w:t xml:space="preserve">ия принятых на себя обязательств, курьер или работник пункта самовывоза при вручении Товара вправе потребовать предъявления документа, удостоверяющий личность Покупателя или иного лица, действующего по поручению Покупателя при получении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При приняти</w:t>
      </w:r>
      <w:r>
        <w:rPr>
          <w:spacing w:val="0"/>
          <w:sz w:val="25"/>
          <w:szCs w:val="25"/>
        </w:rPr>
        <w:t xml:space="preserve">и Заказа от курьера и работника пункта самовывоза, Покупатель (или иное лицо, действующее по его поручению) вправе осмотреть доставленный Товар и проверить его на соответствие заявленному количеству, ассортименту и комплектности Товара, а также проверить ц</w:t>
      </w:r>
      <w:r>
        <w:rPr>
          <w:spacing w:val="0"/>
          <w:sz w:val="25"/>
          <w:szCs w:val="25"/>
        </w:rPr>
        <w:t xml:space="preserve">елостность упаковки.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В случае отсутствия претензий к доставленному Товару Покупатель (или иное лицо, действующее по его поручению) расписывается в документе о доставке заказов, предоставляемом курьером или работником пункта самовывоза, и оплачивает Заказ.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Подпись в документах о доставке заказов свидетельствует о том, что претензий к Товару Покупателем не заявлено и Продавец полностью и надлежащим образом выполнил свою обязанность по передаче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При нарушении целостности упаковки, обнаружении вмятин и д</w:t>
      </w:r>
      <w:r>
        <w:rPr>
          <w:spacing w:val="0"/>
          <w:sz w:val="25"/>
          <w:szCs w:val="25"/>
        </w:rPr>
        <w:t xml:space="preserve">ругих повреждений Покупатель вправе не принимать Товар, потребовать от курьера или работника пункта самовывоза составления акта о возврате и отказаться от получения Товара, после чего сообщить о сложившейся ситуации в Интернет-магазин.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Курьеры и работники </w:t>
      </w:r>
      <w:r>
        <w:rPr>
          <w:spacing w:val="0"/>
          <w:sz w:val="25"/>
          <w:szCs w:val="25"/>
        </w:rPr>
        <w:t xml:space="preserve">пункта самовывоза не уполномочены Продавцом давать Покупателю какие-либо консультации, советы и рекомендации, выполнять иные действия, которые не были оговорены заранее. Продавец не несет никакой ответственности, если такие действия, советы или рекомендаци</w:t>
      </w:r>
      <w:r>
        <w:rPr>
          <w:spacing w:val="0"/>
          <w:sz w:val="25"/>
          <w:szCs w:val="25"/>
        </w:rPr>
        <w:t xml:space="preserve">и повлекут за собой какие-либо негативные последствия или убытки.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Общее время приема-передачи Товара и ожидания курьера или работника пункта самовывоза не должно превышать 15 минут.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В случае самовывоза Покупателем  получение Товара происходит по месту нахо</w:t>
      </w:r>
      <w:r>
        <w:rPr>
          <w:spacing w:val="0"/>
          <w:sz w:val="25"/>
          <w:szCs w:val="25"/>
        </w:rPr>
        <w:t xml:space="preserve">ждения Продавца по адресу:  107497, г. Москва, ул. Амурская, д. 9/6, стр. 9. При получении Товара Покупатель (Представитель Покупателя) обязан предоставить документ, удостоверяющий личность. Согласование вручения Товара Представителю Покупателя производитс</w:t>
      </w:r>
      <w:r>
        <w:rPr>
          <w:spacing w:val="0"/>
          <w:sz w:val="25"/>
          <w:szCs w:val="25"/>
        </w:rPr>
        <w:t xml:space="preserve">я Покупателем по телефону, электронной почте или в мессенджере. При наличии сомнений в полномочиях лица, обратившегося за выдачей Товара, Продавец оставляет за собой право потребовать у Покупателя подтверждения полномочий обратившегося лица, а также отказа</w:t>
      </w:r>
      <w:r>
        <w:rPr>
          <w:spacing w:val="0"/>
          <w:sz w:val="25"/>
          <w:szCs w:val="25"/>
        </w:rPr>
        <w:t xml:space="preserve">ть в выдаче Товара. В случае отказ в выдаче Товара денежные средства возвращаются Покупателю в порядке, установленном разделом 3 настоящего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ind w:right="20" w:firstLine="709"/>
        <w:spacing w:line="240" w:lineRule="auto"/>
        <w:shd w:val="clear" w:color="auto" w:fill="auto"/>
        <w:tabs>
          <w:tab w:val="left" w:pos="0" w:leader="none"/>
          <w:tab w:val="left" w:pos="226" w:leader="none"/>
          <w:tab w:val="left" w:pos="426" w:leader="none"/>
        </w:tabs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0"/>
          <w:numId w:val="2"/>
        </w:numPr>
        <w:ind w:right="20" w:firstLine="709"/>
        <w:jc w:val="center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/>
      <w:bookmarkStart w:id="2" w:name="bookmark81"/>
      <w:r>
        <w:rPr>
          <w:spacing w:val="0"/>
          <w:sz w:val="25"/>
          <w:szCs w:val="25"/>
        </w:rPr>
        <w:t xml:space="preserve">СТОИМОСТЬ ТОВАРА. ПОРЯДОК РАСЧЕТОВ</w:t>
      </w:r>
      <w:bookmarkEnd w:id="2"/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/>
      <w:bookmarkStart w:id="3" w:name="bookmark8"/>
      <w:r>
        <w:rPr>
          <w:sz w:val="25"/>
          <w:szCs w:val="25"/>
        </w:rPr>
        <w:t xml:space="preserve">Общая стоимость Товаров по Договору составляет </w:t>
      </w:r>
      <w:r>
        <w:rPr>
          <w:b/>
          <w:bCs/>
          <w:sz w:val="25"/>
          <w:szCs w:val="25"/>
          <w:shd w:val="clear" w:color="auto" w:fill="e0c2cd"/>
        </w:rPr>
        <w:t xml:space="preserve">170 000</w:t>
      </w:r>
      <w:r>
        <w:rPr>
          <w:sz w:val="25"/>
          <w:szCs w:val="25"/>
          <w:shd w:val="clear" w:color="auto" w:fill="e0c2cd"/>
        </w:rPr>
        <w:t xml:space="preserve"> (сто семьдесят тысяч) руб. </w:t>
      </w:r>
      <w:r>
        <w:rPr>
          <w:b/>
          <w:bCs/>
          <w:sz w:val="25"/>
          <w:szCs w:val="25"/>
          <w:shd w:val="clear" w:color="auto" w:fill="e0c2cd"/>
        </w:rPr>
        <w:t xml:space="preserve">00</w:t>
      </w:r>
      <w:r>
        <w:rPr>
          <w:sz w:val="25"/>
          <w:szCs w:val="25"/>
          <w:shd w:val="clear" w:color="auto" w:fill="e0c2cd"/>
        </w:rPr>
        <w:t xml:space="preserve"> (ноль) коп.</w:t>
      </w:r>
      <w:r>
        <w:rPr>
          <w:sz w:val="25"/>
          <w:szCs w:val="25"/>
        </w:rPr>
        <w:t xml:space="preserve">, без НДС.</w:t>
      </w:r>
      <w:bookmarkEnd w:id="3"/>
      <w:r>
        <w:rPr>
          <w:sz w:val="25"/>
          <w:szCs w:val="25"/>
        </w:rPr>
        <w:t xml:space="preserve">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Продавец освобожден от уплаты налога на добавленную стоимость на основании п. 3 ст. 346.11 Налогового кодекса Российской Федерации.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Все расчеты по </w:t>
      </w:r>
      <w:r>
        <w:rPr>
          <w:sz w:val="25"/>
          <w:szCs w:val="25"/>
        </w:rPr>
        <w:t xml:space="preserve">Договору производятся в безналичном порядке в российских рублях.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Оплата Товара производится Покупателем на условиях 100% предоплаты путем перечисления денежных средств на указанный Продавцом расчетный счет в течение 3 (трех) дней с момента выставления счет</w:t>
      </w:r>
      <w:r>
        <w:rPr>
          <w:sz w:val="25"/>
          <w:szCs w:val="25"/>
        </w:rPr>
        <w:t xml:space="preserve">а Продавцом,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Стоимость одноразовой тары (упаковки) включена в цену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Стоимость Товара включает в себя оплату всех налогов и сборов, действующих на территории Российской Федерации, а также стоимость доставки Товара Покупателю, если иное не согласован</w:t>
      </w:r>
      <w:r>
        <w:rPr>
          <w:sz w:val="25"/>
          <w:szCs w:val="25"/>
        </w:rPr>
        <w:t xml:space="preserve">о Сторонами в Договоре.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Обязательства по оплате считаются исполненными Покупателем с момента поступления денежных средств на расчетный счет Продавца.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right="20" w:firstLine="709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  <w:t xml:space="preserve">Стороны пришли к соглашению о том, что предусмотренный настоящим Договором порядок расчетов не является к</w:t>
      </w:r>
      <w:r>
        <w:rPr>
          <w:sz w:val="25"/>
          <w:szCs w:val="25"/>
        </w:rPr>
        <w:t xml:space="preserve">оммерческим кредитом и порядок оплаты Товара, установленный настоящим Договором, не предоставляет Покупателю права на получение с Продавца процентов в соответствии со ст. 317.1 Гражданского кодекса Российской Федерации.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jc w:val="center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0"/>
          <w:numId w:val="2"/>
        </w:numPr>
        <w:jc w:val="center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ГАРАНТИЙНЫЙ СРОК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Гарантийный  срок на Товары равен гарантийному сроку, установленному изготовителем.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В пределах гарантийного срока Покупатель вправе по своему выбору обратиться с требованием о возврате Товара ненадлежащего качества к изготовителю, Продавцу или импортеру.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Течение гарантийного срока начинается со дня передачи Товара Покупателю.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Если на Товар установлен гарантийный срок, то Продавец</w:t>
      </w:r>
      <w:r>
        <w:rPr>
          <w:sz w:val="25"/>
          <w:szCs w:val="25"/>
          <w:lang w:eastAsia="ru-RU" w:bidi="ar-SA"/>
        </w:rPr>
        <w:t xml:space="preserve"> отвечает за недостатки Товара, если не докажет, что они возникли после передачи Товара Покупателю вследствие нарушения Покупателем правил использования, хранения или транспортировки Товара, действий третьих лиц или непреодолимой силы.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Если на Товар не уст</w:t>
      </w:r>
      <w:r>
        <w:rPr>
          <w:sz w:val="25"/>
          <w:szCs w:val="25"/>
          <w:lang w:eastAsia="ru-RU" w:bidi="ar-SA"/>
        </w:rPr>
        <w:t xml:space="preserve">ановлен гарантийный срок, то Покупатель должен доказать, что недостатки Товара возникли до передачи Товара Покупателю или по причинам, возникшим до этого момента.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Если гарантийный срок составляет менее 2 (двух) лет и недостатки Товара обнаружены по истечен</w:t>
      </w:r>
      <w:r>
        <w:rPr>
          <w:sz w:val="25"/>
          <w:szCs w:val="25"/>
          <w:lang w:eastAsia="ru-RU" w:bidi="ar-SA"/>
        </w:rPr>
        <w:t xml:space="preserve">ии гарантийного срока, но в пределах 2 (двух) лет, Покупатель вправе предъявить Продавцу (изготовителю) требования, если Покупатель докажет, что недостатки Товара возникли до его передачи Покупателю или по причинам, возникшим до этого момента.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5"/>
        <w:numPr>
          <w:ilvl w:val="1"/>
          <w:numId w:val="2"/>
        </w:numPr>
        <w:ind w:firstLine="737"/>
        <w:spacing w:line="240" w:lineRule="auto"/>
        <w:shd w:val="clear" w:color="auto" w:fill="auto"/>
        <w:tabs>
          <w:tab w:val="left" w:pos="0" w:leader="none"/>
          <w:tab w:val="left" w:pos="3070" w:leader="none"/>
        </w:tabs>
        <w:rPr>
          <w:sz w:val="25"/>
          <w:szCs w:val="25"/>
        </w:rPr>
      </w:pPr>
      <w:r>
        <w:rPr>
          <w:sz w:val="25"/>
          <w:szCs w:val="25"/>
          <w:lang w:eastAsia="ru-RU" w:bidi="ar-SA"/>
        </w:rPr>
        <w:t xml:space="preserve">Если сущест</w:t>
      </w:r>
      <w:r>
        <w:rPr>
          <w:sz w:val="25"/>
          <w:szCs w:val="25"/>
          <w:lang w:eastAsia="ru-RU" w:bidi="ar-SA"/>
        </w:rPr>
        <w:t xml:space="preserve">венный недостаток Товара выявлен по истечении 2 (двух) лет со дня его передачи Покупателю и к этому моменту истек гарантийный срок, требование о расторжении договора розничной купли-продажи может быть заявлено Покупателем только к изготовителю (уполномочен</w:t>
      </w:r>
      <w:r>
        <w:rPr>
          <w:sz w:val="25"/>
          <w:szCs w:val="25"/>
          <w:lang w:eastAsia="ru-RU" w:bidi="ar-SA"/>
        </w:rPr>
        <w:t xml:space="preserve">ной организации или уполномоченному индивидуальному предпринимателю, импортеру). При этом Покупатель обязан доказать, что выявленный недостаток является существенным и что он возник до передачи Товара Покупателю или по причинам, возникшим до этого момента.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firstLine="709"/>
        <w:jc w:val="both"/>
        <w:widowControl w:val="off"/>
        <w:tabs>
          <w:tab w:val="left" w:pos="1046" w:leader="none"/>
        </w:tabs>
        <w:rPr>
          <w:rFonts w:eastAsia="Times New Roman" w:cs="Times New Roman"/>
          <w:sz w:val="25"/>
          <w:szCs w:val="25"/>
          <w:lang w:eastAsia="ru-RU" w:bidi="ar-SA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</w:r>
      <w:r>
        <w:rPr>
          <w:rFonts w:eastAsia="Times New Roman" w:cs="Times New Roman"/>
          <w:sz w:val="25"/>
          <w:szCs w:val="25"/>
          <w:lang w:eastAsia="ru-RU" w:bidi="ar-SA"/>
        </w:rPr>
      </w:r>
      <w:r>
        <w:rPr>
          <w:rFonts w:eastAsia="Times New Roman" w:cs="Times New Roman"/>
          <w:sz w:val="25"/>
          <w:szCs w:val="25"/>
          <w:lang w:eastAsia="ru-RU" w:bidi="ar-SA"/>
        </w:rPr>
      </w:r>
    </w:p>
    <w:p>
      <w:pPr>
        <w:numPr>
          <w:ilvl w:val="0"/>
          <w:numId w:val="4"/>
        </w:numPr>
        <w:jc w:val="center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ОБМЕН И ВОЗВРАТ ТОВАРОВ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Покупатель вправе обменять непродовольственный Товар надлежащего качества на аналогичный товар у Продавца, если указанный Товар не подошел по форме, габаритам, фасону, расцветке, размеру или комплектации.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Покупатель имеет право на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обмен непродовольственного Товара надлежащего качества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14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(четырнадцати) дней, не считая дня его покупки.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Обмен непродовольственного Товара надлежащего качества проводится, если указанный Товар не был в употреблении, сохранены его товарный вид,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Покупателя товарного чека или кассового чека либо иного подтверждающего оплату товара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документа не лишает его возможности ссылаться на свидетельские показания.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Перечень Товаров, не подлежащих обмену, установлен Постановлением Правительства Российской Федерации от 31.12.2020 № 2463.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В случае, если аналогичный Товар отсутствует в продаже на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день обращения Покупателю к Продавцу, Покупатель вправе отказаться от исполнения Договора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рению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3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(трех) дней со дня возврата указанного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По соглашению Покупателя с Продавцом обмен Товара может быть предусмотрен при поступлении аналогичного товара в продажу. Продавец обязан незамедлительно сообщить Покупателю о поступлении анал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огичного товара в продажу.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Под Товаром ненадлежащего качества подразумевается Товар, который неисправен и не может обеспечить исполнение своих функциональных свойств.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При обнаружении в Товаре недостатков, которые не были оговорены Продавцом, Покупатель вп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раве по своему выбору предъявить одно из следующих требований: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2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 безвозмездном устранения недостатков Товара или возмещения расходов на их исправление Покупателем или третьим лицом;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2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 соразмерном уменьшения покупной цены Товара;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2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 замене на Товар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аналогичной марки (модели, артикула) или на такой же Товар другой марки (модели, артикула) с соответствующим перерасчетом цены Товара;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2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об отказе от исполнения Договора и о возврате уплаченной за Товар суммы. По требованию Продавца и за его счет Покупатель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обязан возвратить Продавцу Товар с недостатками.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В случае обнаружения Покупателем недостатков Товара и предъявления требования о его замене Продавец обязан заменить Такой товар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7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(семи) дней со дня предъявления указанного требования Покупателем,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а при необходимости дополнительной проверки качества такого Товара Продавцом  -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20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(двадцати) дней со дня предъявления указанного требования.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Если у Продавца в момент предъявления требования отсутствует необходимый для замены Товар, замена должна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быть проведена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1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(одного) месяца со дня предъявления такого требования.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В районах Крайнего Севера и приравненных к ним местностях требование Покупателя о замене Товара подлежит удовлетворению по его заявлению в срок, необходимый для очередной до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ставки соответствующего товара в эти районы, в случае отсутствия у Продавца необходимого для замены товара на день предъявления указанного требования.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Если для замены Товара требуется более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7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(семи) дней, по требованию Покупателя Продавец в течение </w:t>
      </w:r>
      <w:r>
        <w:rPr>
          <w:rFonts w:eastAsia="Times New Roman" w:cs="Times New Roman"/>
          <w:b/>
          <w:bCs/>
          <w:sz w:val="25"/>
          <w:szCs w:val="25"/>
          <w:lang w:eastAsia="ru-RU" w:bidi="ar-SA"/>
        </w:rPr>
        <w:t xml:space="preserve">3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 (трех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) дней со дня предъявления требования о замене Товара обязан безвозмездно предоставить Покупателю во временное пользование на период замены товар длительного пользования, обладающий этими же основными потребительскими свойствами, обеспечив его доставку за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свой счет. Это правило не распространяется на товары, перечень которых определяется в соответствии с Постановлением Правительства Российской Федерации от 31.12.2020 № 2463.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Товар ненадлежащего качества должен быть заменен на новый товар, то есть на товар, 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не бывший в употреблении.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При замене Товара гарантийный срок исчисляется заново со дня передачи Товара Покупателю.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В случае спора о причинах возникновения недостатков Товара, экспертиза проводится за счет Продавца в течение 10 (десяти) дней с момента получ</w:t>
      </w:r>
      <w:r>
        <w:rPr>
          <w:rFonts w:eastAsia="Times New Roman" w:cs="Times New Roman"/>
          <w:sz w:val="25"/>
          <w:szCs w:val="25"/>
          <w:lang w:eastAsia="ru-RU" w:bidi="ar-SA"/>
        </w:rPr>
        <w:t xml:space="preserve">ения Товара Продавцом.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4"/>
        </w:numPr>
        <w:ind w:firstLine="709"/>
        <w:jc w:val="both"/>
        <w:widowControl w:val="off"/>
        <w:tabs>
          <w:tab w:val="left" w:pos="1046" w:leader="none"/>
        </w:tabs>
        <w:rPr>
          <w:sz w:val="25"/>
          <w:szCs w:val="25"/>
        </w:rPr>
        <w:outlineLvl w:val="1"/>
      </w:pPr>
      <w:r>
        <w:rPr>
          <w:rFonts w:eastAsia="Times New Roman" w:cs="Times New Roman"/>
          <w:sz w:val="25"/>
          <w:szCs w:val="25"/>
          <w:lang w:eastAsia="ru-RU" w:bidi="ar-SA"/>
        </w:rPr>
        <w:t xml:space="preserve">Покупатель вправе требовать полного возмещения убытков, причиненных ему вследствие продажи Товара ненадлежащего качества.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2"/>
        <w:ind w:left="709" w:right="20"/>
        <w:spacing w:after="0" w:line="240" w:lineRule="auto"/>
        <w:shd w:val="clear" w:color="auto" w:fill="auto"/>
        <w:tabs>
          <w:tab w:val="left" w:pos="985" w:leader="none"/>
        </w:tabs>
        <w:rPr>
          <w:spacing w:val="0"/>
          <w:sz w:val="25"/>
          <w:szCs w:val="25"/>
        </w:rPr>
      </w:pPr>
      <w:r>
        <w:rPr>
          <w:spacing w:val="0"/>
          <w:sz w:val="25"/>
          <w:szCs w:val="25"/>
        </w:rPr>
      </w:r>
      <w:r>
        <w:rPr>
          <w:spacing w:val="0"/>
          <w:sz w:val="25"/>
          <w:szCs w:val="25"/>
        </w:rPr>
      </w:r>
      <w:r>
        <w:rPr>
          <w:spacing w:val="0"/>
          <w:sz w:val="25"/>
          <w:szCs w:val="25"/>
        </w:rPr>
      </w:r>
    </w:p>
    <w:p>
      <w:pPr>
        <w:numPr>
          <w:ilvl w:val="0"/>
          <w:numId w:val="5"/>
        </w:numPr>
        <w:jc w:val="center"/>
        <w:widowControl w:val="off"/>
        <w:tabs>
          <w:tab w:val="left" w:pos="0" w:leader="none"/>
          <w:tab w:val="left" w:pos="3850" w:leader="none"/>
        </w:tabs>
        <w:rPr>
          <w:sz w:val="25"/>
          <w:szCs w:val="25"/>
        </w:rPr>
        <w:outlineLvl w:val="0"/>
      </w:pPr>
      <w:r/>
      <w:bookmarkStart w:id="4" w:name="bookmark9"/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ОТВЕТСТВЕННОСТЬ СТОРОН</w:t>
      </w:r>
      <w:bookmarkEnd w:id="4"/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0" w:leader="none"/>
          <w:tab w:val="left" w:pos="97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За неисполнение или ненадлежащее исполнение обязательств по Договору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полностью или частично Стороны несут имущественную ответственность в соответствии с действующим законодатель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ством Российской Федерации и условиями настоящего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widowControl w:val="off"/>
        <w:tabs>
          <w:tab w:val="left" w:pos="142" w:leader="none"/>
          <w:tab w:val="left" w:pos="1086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По настоящему Договору Стороны возмещают друг другу только прямой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действительный ущерб, подтвержденный соответствующими документами.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widowControl w:val="off"/>
        <w:tabs>
          <w:tab w:val="left" w:pos="142" w:leader="none"/>
          <w:tab w:val="left" w:pos="1086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Совокупный размер ответственности Продавца по Договору, включая размер штрафных санкций (пеней, неустоек) и/или возмещаемых убытков, по любому иску или претензии в отношении Договора или ег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 исполнения, ограничивается 10% (десятью процентами) от стоимости Товара.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widowControl w:val="off"/>
        <w:tabs>
          <w:tab w:val="left" w:pos="142" w:leader="none"/>
          <w:tab w:val="left" w:pos="1086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Право (требование), принадлежащее Покупателю по отношению к Продавцу на основании обязательств по Договору не может быть передано другому лицу по сделке (уступка требования), без пи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сьменного согласия Продавца. В случае нарушения настоящего положения Покупатель обязуется уплатить Продавцу неустойку в размере 10% (десять процентов) от суммы уступленного требования.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widowControl w:val="off"/>
        <w:tabs>
          <w:tab w:val="left" w:pos="142" w:leader="none"/>
          <w:tab w:val="left" w:pos="1086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Продавец ни при каких обстоятельствах не несет ответственности за ущерб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, причиненный Покупателю вследствие ненадлежащего использования Товаров, не предназначенных для оказания медицинских услуг, перечень которых имеется в публичной оферте на сайте Продавца. Применение указанных Товаров возможно исключительно в тренировочном п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роцессе на фантомных моделях из пластмассы, гипса и других материалах.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709" w:right="23"/>
        <w:jc w:val="both"/>
        <w:widowControl w:val="off"/>
        <w:tabs>
          <w:tab w:val="left" w:pos="142" w:leader="none"/>
          <w:tab w:val="left" w:pos="1086" w:leader="none"/>
        </w:tabs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Художественные кисти являются канцелярскими товарами и инструментами для </w:t>
      </w:r>
      <w:r>
        <w:rPr>
          <w:rFonts w:eastAsia="Times New Roman" w:cs="Times New Roman"/>
          <w:color w:val="000000"/>
          <w:lang w:eastAsia="ru-RU" w:bidi="ar-SA"/>
        </w:rPr>
      </w:r>
      <w:r>
        <w:rPr>
          <w:rFonts w:eastAsia="Times New Roman" w:cs="Times New Roman"/>
          <w:color w:val="000000"/>
          <w:lang w:eastAsia="ru-RU" w:bidi="ar-SA"/>
        </w:rPr>
      </w:r>
    </w:p>
    <w:p>
      <w:pPr>
        <w:ind w:right="23"/>
        <w:jc w:val="both"/>
        <w:widowControl w:val="off"/>
        <w:tabs>
          <w:tab w:val="left" w:pos="142" w:leader="none"/>
          <w:tab w:val="left" w:pos="1086" w:leader="none"/>
        </w:tabs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  <w:t xml:space="preserve">живописи, не предназначенными для оказания медицинских услуг.</w:t>
      </w:r>
      <w:r>
        <w:rPr>
          <w:rFonts w:eastAsia="Times New Roman" w:cs="Times New Roman"/>
          <w:color w:val="000000"/>
          <w:lang w:eastAsia="ru-RU" w:bidi="ar-SA"/>
        </w:rPr>
      </w:r>
      <w:r>
        <w:rPr>
          <w:rFonts w:eastAsia="Times New Roman" w:cs="Times New Roman"/>
          <w:color w:val="000000"/>
          <w:lang w:eastAsia="ru-RU" w:bidi="ar-SA"/>
        </w:rPr>
      </w:r>
    </w:p>
    <w:p>
      <w:pPr>
        <w:ind w:right="23"/>
        <w:jc w:val="both"/>
        <w:widowControl w:val="off"/>
        <w:tabs>
          <w:tab w:val="left" w:pos="142" w:leader="none"/>
          <w:tab w:val="left" w:pos="1086" w:leader="none"/>
        </w:tabs>
        <w:rPr>
          <w:rFonts w:eastAsia="Times New Roman" w:cs="Times New Roman"/>
          <w:color w:val="000000"/>
          <w:lang w:eastAsia="ru-RU" w:bidi="ar-SA"/>
        </w:rPr>
      </w:pPr>
      <w:r>
        <w:rPr>
          <w:rFonts w:eastAsia="Times New Roman" w:cs="Times New Roman"/>
          <w:color w:val="000000"/>
          <w:lang w:eastAsia="ru-RU" w:bidi="ar-SA"/>
        </w:rPr>
      </w:r>
      <w:r>
        <w:rPr>
          <w:rFonts w:eastAsia="Times New Roman" w:cs="Times New Roman"/>
          <w:color w:val="000000"/>
          <w:lang w:eastAsia="ru-RU" w:bidi="ar-SA"/>
        </w:rPr>
      </w:r>
      <w:r>
        <w:rPr>
          <w:rFonts w:eastAsia="Times New Roman" w:cs="Times New Roman"/>
          <w:color w:val="000000"/>
          <w:lang w:eastAsia="ru-RU" w:bidi="ar-SA"/>
        </w:rPr>
      </w:r>
    </w:p>
    <w:tbl>
      <w:tblPr>
        <w:tblW w:w="964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7"/>
        <w:gridCol w:w="5799"/>
        <w:gridCol w:w="321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товара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Артикул товара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кисти серии "Standart"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60116, 60117, 60118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сменные кисти серии "Exchange"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60105, 60111, 60112, 60113, 60114, 60115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кисти серии "Pink dream"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60108, 60109, 60110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кисти серии "Heavy"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60119, 60120, 60121, 60122, 60123, 60124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кисти серии "Sky"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60103, 60104, 60106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кисть универсальная серии "Lily"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60107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кисти серии "Ruzin standart"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60126, 60127, 60128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сменные кисти серии "Ruzin holder"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60101, 60102, 60129, 60130, 60131, 60132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силиконовая кисть серии "Ruzin soft"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60125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Худ. кисть серии "Ruzin heavy"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60133</w:t>
            </w:r>
            <w:r/>
          </w:p>
        </w:tc>
      </w:tr>
    </w:tbl>
    <w:p>
      <w:pPr>
        <w:ind w:right="57" w:firstLine="0"/>
        <w:jc w:val="both"/>
        <w:widowControl w:val="off"/>
        <w:tabs>
          <w:tab w:val="left" w:pos="142" w:leader="none"/>
          <w:tab w:val="left" w:pos="1086" w:leader="none"/>
        </w:tabs>
      </w:pPr>
      <w:r/>
      <w:r/>
    </w:p>
    <w:p>
      <w:pPr>
        <w:ind w:right="57" w:firstLine="737"/>
        <w:jc w:val="both"/>
        <w:widowControl w:val="off"/>
        <w:tabs>
          <w:tab w:val="left" w:pos="142" w:leader="none"/>
          <w:tab w:val="left" w:pos="1086" w:leader="none"/>
        </w:tabs>
      </w:pPr>
      <w:r>
        <w:t xml:space="preserve">Джиги (передние депрограмматоры) являются тренировочными моделями, н</w:t>
      </w:r>
      <w:r>
        <w:rPr>
          <w:rFonts w:eastAsia="Times New Roman" w:cs="Times New Roman"/>
          <w:color w:val="000000"/>
          <w:lang w:eastAsia="ru-RU" w:bidi="ar-SA"/>
        </w:rPr>
        <w:t xml:space="preserve">е предназначенными для оказания медицинских услуг.</w:t>
      </w:r>
      <w:r/>
    </w:p>
    <w:p>
      <w:pPr>
        <w:ind w:right="23"/>
        <w:jc w:val="both"/>
        <w:widowControl w:val="off"/>
        <w:tabs>
          <w:tab w:val="left" w:pos="142" w:leader="none"/>
          <w:tab w:val="left" w:pos="1086" w:leader="none"/>
        </w:tabs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tbl>
      <w:tblPr>
        <w:tblW w:w="9645" w:type="dxa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27"/>
        <w:gridCol w:w="5799"/>
        <w:gridCol w:w="321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Джиги I (первый) класс, набор из 10 штук, передний депрограмматор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7401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Джиги II (второй) класс, набор из 10 штук, передний депрограмматор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7402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799" w:type="dxa"/>
            <w:textDirection w:val="lrTb"/>
            <w:noWrap w:val="false"/>
          </w:tcPr>
          <w:p>
            <w:pPr>
              <w:pStyle w:val="880"/>
            </w:pPr>
            <w:r>
              <w:t xml:space="preserve">Джиги I, II (первый и второй) класс, набор из 10 штук, передний депрограмматор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19" w:type="dxa"/>
            <w:textDirection w:val="lrTb"/>
            <w:noWrap w:val="false"/>
          </w:tcPr>
          <w:p>
            <w:pPr>
              <w:pStyle w:val="880"/>
              <w:jc w:val="center"/>
            </w:pPr>
            <w:r>
              <w:t xml:space="preserve">7403</w:t>
            </w:r>
            <w:r/>
          </w:p>
        </w:tc>
      </w:tr>
    </w:tbl>
    <w:p>
      <w:pPr>
        <w:ind w:right="23"/>
        <w:jc w:val="both"/>
        <w:widowControl w:val="off"/>
        <w:tabs>
          <w:tab w:val="left" w:pos="142" w:leader="none"/>
          <w:tab w:val="left" w:pos="1086" w:leader="none"/>
        </w:tabs>
        <w:rPr>
          <w:rFonts w:eastAsia="Times New Roman" w:cs="Times New Roman"/>
          <w:color w:val="000000"/>
          <w:sz w:val="25"/>
          <w:szCs w:val="25"/>
          <w:lang w:eastAsia="ru-RU" w:bidi="ar-SA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</w:p>
    <w:p>
      <w:pPr>
        <w:numPr>
          <w:ilvl w:val="0"/>
          <w:numId w:val="5"/>
        </w:numPr>
        <w:ind w:right="23"/>
        <w:jc w:val="center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ОБСТОЯТЕЛЬСТВА НЕПРЕОДОЛИМОЙ СИЛЫ (ФОРС-МАЖОР)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Сторона, не исполнившая или ненадлежащим образом исполнившая свои обязательства по Договору, несет ответственность в соответствии с дейст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вующим законодательством Российской Федерации, если не докажет, что надлежащее исполнение обязательств оказалось невозможным вследствие обстоятельств непреодолимой силы.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К обстоятельствам непреодолимой силы относятся обстоятельства, возникшие помимо воли с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торон, которые стороны не могли предвидеть и предотвратить, включая, но не ограничиваясь: стихийные бедствия природного и техногенного характера, пожары, военные действия, массовые беспорядки, забастовки, издание нормативных актов органов государственной в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ласти, вынужденная срочная (внеплановая) госпитализация, препятствующие исполнению Сторонами обязательств по Договору.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Сторона, для которой препятствием надлежащего исполнения принятых по Договору обязательств являются обстоятельства непреодолимой силы, о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бязуется не позднее 03 (трех) рабочих дней) в письменном виде уведомить другую Сторону о наступлении указанных форс-мажорных обстоятельств и указанием причин невозможности исполнения конкретных обязательств по настоящему Договору, в противном случае она ли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шается права ссылаться на них в дальнейшем. Срок действия обстоятельств непреодолимой силы исчисляется с момента уведомления.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Факт наступления обстоятельств непреодолимой силы подтверждается письменным свидетельством компетентного органа Российской Федера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ции или Торгово-промышленной палаты.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Срок выполнения обязательств по настоящему Договору увеличивается соразмерно времени, в течение которого обстоятельства непреодолимой силы препятствовали исполнению обязательств по Договору, если иное не будет предусмот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рено дополнительным соглашением Сторон.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Если обстоятельства непреодолимой силы продолжают действовать более 3 (трех) месяцев, то каждая Сторона вправе расторгнуть Договор в одностороннем порядке.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right="23"/>
        <w:jc w:val="both"/>
        <w:widowControl w:val="off"/>
        <w:tabs>
          <w:tab w:val="left" w:pos="142" w:leader="none"/>
          <w:tab w:val="left" w:pos="985" w:leader="none"/>
        </w:tabs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0"/>
          <w:numId w:val="5"/>
        </w:numPr>
        <w:jc w:val="center"/>
        <w:widowControl w:val="off"/>
        <w:tabs>
          <w:tab w:val="left" w:pos="142" w:leader="none"/>
          <w:tab w:val="left" w:pos="4041" w:leader="none"/>
        </w:tabs>
        <w:rPr>
          <w:sz w:val="25"/>
          <w:szCs w:val="25"/>
        </w:rPr>
        <w:outlineLvl w:val="0"/>
      </w:pPr>
      <w:r/>
      <w:bookmarkStart w:id="5" w:name="bookmark10"/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И</w:t>
      </w:r>
      <w:bookmarkEnd w:id="5"/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НТЕЛЛЕКТУАЛЬНАЯ СОБСТВЕННОСТЬ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Продавец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использует коммерческое обозначение и товарный знак «Бендстом».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Продавец гарантирует Покупателю, что Товары, предлагаемые к продаже на Сайте, были были введены в гражданский оборот на территории Российской Федерации непосредственно правообладателями или с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их согласия и исключительные права на товарный знак исчерпаны после первой легальной продажи в соответствии со ст. 1487 Гражданского кодекса Российской Федерации.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Продавец гарантирует Покупателю, что условия продажи Товаров Покупателю </w:t>
      </w: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в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полностью соответс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твуют действующему законодательству Российской Федерации в сфере интеллектуальной собственности, авторских и смежных прав и </w:t>
      </w: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не нарушают права и законные интересы третьих лиц, в отношении объекты интеллектуальной соб</w:t>
      </w: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ственности.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В случае возникновения у Пок</w:t>
      </w: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упателя споров с третьими лицами об объектах интеллектуальной собственности, связанных с Товаром, Продавец обязуется за свой счет принять участие в урегулировании спора (в том числе, вступить в судебное дело на стороне Покупателя), предоставить необходимые</w:t>
      </w:r>
      <w:r>
        <w:rPr>
          <w:rFonts w:eastAsia="MS Mincho" w:cs="Times New Roman"/>
          <w:color w:val="000000"/>
          <w:sz w:val="25"/>
          <w:szCs w:val="25"/>
          <w:lang w:eastAsia="ja-JP" w:bidi="ar-SA"/>
        </w:rPr>
        <w:t xml:space="preserve"> документы, а также возместить Покупателю документально подтвержденные убытки. 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Исключительные и личные неимущественные права на информационные материалы, используемые при продаже Товаров, как на составные произведения, принадлежат Продавцу и охраняются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 соответствии с действующим законодательством Российской Федерации.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Информационные материалы, используемые при продаже Товаров, защищены авторским правом, их распространение, повторение в коммерческих целях для массового потребления (плагиат, сходство до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степени смешения) не допускается, виновные лица подлежат привлечению к гражданско-правовой ответственности, административному и уголовному преследованию.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Покупатель имеет право без разрешения Продавца добросовестно использовать знаки обслуживания Продавца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 рекламных и маркетинговых материалах, в том числе ссылаясь на Товары Продавца. Покупатель не имеет права использовать знаки обслуживания Продавца с целью выдать себя за агента, партнера, работника Продавца. При любом сомнении в правомерности использовани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я знаков обслуживания, Покупатель обязуется письменно обратиться к Продавцу за разъяснениями.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Покупатель обязуется не распространять (публиковать, размещать на интернет-сайтах, копировать, передавать или перепродавать третьим лицам) в коммерческих или нек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оммерческих целях предоставляемые Продавцом в рамках настоящего Договора информацию и материалы, не создавать на их основе информационные продукты с целью извлечения коммерческой прибыли.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142" w:leader="none"/>
          <w:tab w:val="left" w:pos="1042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При нарушении исключительных прав Продавца Покупатель обязан незаме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длительно прекратить всякое прямое или косвенное нарушение в день поступления требования от Продавца, в том числе включая но не ограничиваясь: удалить весь авторский контент, прекратить использование товарного знака прямо или косвенно, в той мере в которой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потребитель имеет заблуждение относительно правообладателя товарного знака или иного защищенного авторским правом объектом.  Прлодавец вправе на основании ст. 1001 Гражданского кодекса Российской Федерации потребовать от Покупателя выплаты компенсации в р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азмере </w:t>
      </w:r>
      <w:r>
        <w:rPr>
          <w:rFonts w:eastAsia="Times New Roman" w:cs="Times New Roman"/>
          <w:b/>
          <w:bCs/>
          <w:color w:val="000000"/>
          <w:sz w:val="25"/>
          <w:szCs w:val="25"/>
          <w:lang w:eastAsia="ru-RU" w:bidi="ar-SA"/>
        </w:rPr>
        <w:t xml:space="preserve">500 000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(пятьсот тысяч) руб. </w:t>
      </w:r>
      <w:r>
        <w:rPr>
          <w:rFonts w:eastAsia="Times New Roman" w:cs="Times New Roman"/>
          <w:b/>
          <w:bCs/>
          <w:color w:val="000000"/>
          <w:sz w:val="25"/>
          <w:szCs w:val="25"/>
          <w:lang w:eastAsia="ru-RU" w:bidi="ar-SA"/>
        </w:rPr>
        <w:t xml:space="preserve">00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(ноль) коп. за каждый случай нарушения, а также компенсации всех причиненных убытков, включая упущенную выгоду.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580" w:right="20"/>
        <w:jc w:val="both"/>
        <w:widowControl w:val="off"/>
        <w:tabs>
          <w:tab w:val="left" w:pos="1038" w:leader="none"/>
        </w:tabs>
        <w:rPr>
          <w:rFonts w:eastAsia="Times New Roman" w:cs="Times New Roman"/>
          <w:color w:val="000000"/>
          <w:sz w:val="25"/>
          <w:szCs w:val="25"/>
          <w:lang w:eastAsia="ru-RU" w:bidi="ar-SA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</w:p>
    <w:p>
      <w:pPr>
        <w:numPr>
          <w:ilvl w:val="0"/>
          <w:numId w:val="5"/>
        </w:numPr>
        <w:jc w:val="center"/>
        <w:widowControl w:val="off"/>
        <w:tabs>
          <w:tab w:val="left" w:pos="4226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РАЗРЕШЕНИЕ СПОРОВ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3" w:firstLine="709"/>
        <w:jc w:val="both"/>
        <w:shd w:val="clear" w:color="auto" w:fill="ffffff"/>
        <w:widowControl w:val="off"/>
        <w:tabs>
          <w:tab w:val="left" w:pos="1038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Все споры, разногласия или требования, возникающие из настоящего Договора или в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связи с ним, в том числе касающиеся его исполнения, нарушения, прекращения или недействительности, по возможности, путем переговоров, а при недостижении согласия путем переговоров – в судебном порядке в соответствии с действующим законодательством Российск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ой Федерации.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ab/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0" w:leader="none"/>
          <w:tab w:val="left" w:pos="1038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Претензионный  (досудебный) порядок разрешения споров является обязательным. В случае получения претензии Сторона, ее получившая, должна направить ответ другой стороне не позднее 10 (десяти) рабочих дней с момента получения. Претензия и отзыв на нее либо в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ручаются представителю Стороны под расписку, либо направляются регистрируемым почтовым отправлением.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567" w:right="20"/>
        <w:jc w:val="both"/>
        <w:widowControl w:val="off"/>
        <w:tabs>
          <w:tab w:val="left" w:pos="0" w:leader="none"/>
          <w:tab w:val="left" w:pos="1038" w:leader="none"/>
        </w:tabs>
        <w:rPr>
          <w:rFonts w:eastAsia="Times New Roman" w:cs="Times New Roman"/>
          <w:color w:val="000000"/>
          <w:sz w:val="25"/>
          <w:szCs w:val="25"/>
          <w:lang w:eastAsia="ru-RU" w:bidi="ar-SA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</w:p>
    <w:p>
      <w:pPr>
        <w:pStyle w:val="884"/>
        <w:numPr>
          <w:ilvl w:val="0"/>
          <w:numId w:val="5"/>
        </w:numPr>
        <w:jc w:val="center"/>
        <w:tabs>
          <w:tab w:val="left" w:pos="709" w:leader="none"/>
        </w:tabs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</w:rPr>
        <w:t xml:space="preserve">СРОК ДЕЙСТВИЯ, ПОРЯДОК ИЗМЕНЕНИЯ И ПРЕКРАЩЕНИЯ ДОГОВОРА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shd w:val="clear" w:color="auto" w:fill="ffffff"/>
        <w:widowControl w:val="off"/>
        <w:tabs>
          <w:tab w:val="left" w:pos="0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Настоящий Договор вступает в силу с момента его подписания и действует до 31 декабря 2024 г., а в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 части взаимных расчетов до полного исполнения Сторонами 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обязательств по Договору.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shd w:val="clear" w:color="auto" w:fill="ffffff"/>
        <w:widowControl w:val="off"/>
        <w:tabs>
          <w:tab w:val="left" w:pos="0" w:leader="none"/>
          <w:tab w:val="left" w:pos="709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Если за 10 (десять) дней до истечения срока действия Договора ни одна из Сторон не заявит о расторжении настоящего Договора, то Договор считается, пролонгированным на кажды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й календарный год и на тех же условиях. Количество таких продлений не ограничено.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shd w:val="clear" w:color="auto" w:fill="ffffff"/>
        <w:widowControl w:val="off"/>
        <w:tabs>
          <w:tab w:val="left" w:pos="0" w:leader="none"/>
          <w:tab w:val="left" w:pos="709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я неотъемлемой частью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0" w:leader="none"/>
          <w:tab w:val="left" w:pos="709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Договор может быть расторгнут по основаниям, предусмотренным действующим законодательством Российской Федерации или по консенсуальному соглашению Сторон.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5"/>
        </w:numPr>
        <w:ind w:right="20" w:firstLine="709"/>
        <w:jc w:val="both"/>
        <w:widowControl w:val="off"/>
        <w:tabs>
          <w:tab w:val="left" w:pos="0" w:leader="none"/>
          <w:tab w:val="left" w:pos="709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Любая из Сторон имеет право расторгнуть настоящий Договор, письменно у</w:t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ведомив другую Сторону о своем решении в срок не позднее, чем за 10 (десять) дней до желаемой даты расторжения.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709" w:right="20"/>
        <w:jc w:val="both"/>
        <w:widowControl w:val="off"/>
        <w:tabs>
          <w:tab w:val="left" w:pos="1028" w:leader="none"/>
        </w:tabs>
        <w:rPr>
          <w:rFonts w:eastAsia="Times New Roman" w:cs="Times New Roman"/>
          <w:color w:val="000000"/>
          <w:sz w:val="25"/>
          <w:szCs w:val="25"/>
          <w:lang w:eastAsia="ru-RU" w:bidi="ar-SA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  <w:r>
        <w:rPr>
          <w:rFonts w:eastAsia="Times New Roman" w:cs="Times New Roman"/>
          <w:color w:val="000000"/>
          <w:sz w:val="25"/>
          <w:szCs w:val="25"/>
          <w:lang w:eastAsia="ru-RU" w:bidi="ar-SA"/>
        </w:rPr>
      </w:r>
    </w:p>
    <w:p>
      <w:pPr>
        <w:numPr>
          <w:ilvl w:val="0"/>
          <w:numId w:val="3"/>
        </w:numPr>
        <w:jc w:val="center"/>
        <w:widowControl w:val="off"/>
        <w:tabs>
          <w:tab w:val="left" w:pos="3591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z w:val="25"/>
          <w:szCs w:val="25"/>
          <w:lang w:eastAsia="ru-RU" w:bidi="ar-SA"/>
        </w:rPr>
        <w:t xml:space="preserve">ЗАКЛЮЧИТЕЛЬНЫЕ ПОЛОЖЕНИЯ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3"/>
        </w:numPr>
        <w:ind w:right="57" w:firstLine="794"/>
        <w:jc w:val="both"/>
        <w:shd w:val="clear" w:color="auto" w:fill="ffffff"/>
        <w:widowControl w:val="off"/>
        <w:tabs>
          <w:tab w:val="left" w:pos="1143" w:leader="none"/>
        </w:tabs>
        <w:rPr>
          <w:sz w:val="25"/>
          <w:szCs w:val="25"/>
        </w:rPr>
      </w:pPr>
      <w:r>
        <w:rPr>
          <w:rFonts w:eastAsia="Times New Roman" w:cs="Times New Roman"/>
          <w:spacing w:val="1"/>
          <w:sz w:val="25"/>
          <w:szCs w:val="25"/>
        </w:rPr>
        <w:t xml:space="preserve">Покупатель дает согласие на обработку Продавцом персональных данных, указанных Покупателем при оформлении Заказа и </w:t>
      </w:r>
      <w:r>
        <w:rPr>
          <w:rFonts w:eastAsia="Times New Roman" w:cs="Times New Roman"/>
          <w:spacing w:val="1"/>
          <w:sz w:val="25"/>
          <w:szCs w:val="25"/>
        </w:rPr>
        <w:t xml:space="preserve">(или) при заключении Договора, в том числе на совершение Продавцом действий, предусмотренных п. 3 ст. 3 Федерального закона от 27.07.2006 года № 152-ФЗ «О персональных данных», любыми способами, для целей заключения и исполнения Договора.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84"/>
        <w:numPr>
          <w:ilvl w:val="1"/>
          <w:numId w:val="3"/>
        </w:numPr>
        <w:ind w:left="-57"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С момента заключе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ния Договора переписка в ходе переговоров Сторон о заключении Договора утрачивает силу. Стороны не имеют никаких сопутствующих устных или письменных договоренностей.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pStyle w:val="884"/>
        <w:numPr>
          <w:ilvl w:val="1"/>
          <w:numId w:val="3"/>
        </w:numPr>
        <w:ind w:left="-57" w:firstLine="68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Признание судом какого-либо положения настоящего Договора недействительным или не подлежащ</w:t>
      </w:r>
      <w:r>
        <w:rPr>
          <w:rFonts w:ascii="Times New Roman" w:hAnsi="Times New Roman" w:eastAsia="Times New Roman" w:cs="Times New Roman"/>
          <w:spacing w:val="1"/>
          <w:sz w:val="25"/>
          <w:szCs w:val="25"/>
        </w:rPr>
        <w:t xml:space="preserve">им принудительному исполнению не влечет недействительности иных его положений.</w:t>
      </w:r>
      <w:r>
        <w:rPr>
          <w:rFonts w:ascii="Times New Roman" w:hAnsi="Times New Roman"/>
          <w:sz w:val="25"/>
          <w:szCs w:val="25"/>
        </w:rPr>
      </w:r>
      <w:r>
        <w:rPr>
          <w:rFonts w:ascii="Times New Roman" w:hAnsi="Times New Roman"/>
          <w:sz w:val="25"/>
          <w:szCs w:val="25"/>
        </w:rPr>
      </w:r>
    </w:p>
    <w:p>
      <w:pPr>
        <w:numPr>
          <w:ilvl w:val="1"/>
          <w:numId w:val="3"/>
        </w:numPr>
        <w:ind w:right="20" w:firstLine="709"/>
        <w:jc w:val="both"/>
        <w:shd w:val="clear" w:color="auto" w:fill="ffffff"/>
        <w:widowControl w:val="off"/>
        <w:tabs>
          <w:tab w:val="left" w:pos="1143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Руководствуясь п. 2 ст. 160 и п. 2 ст. 434 Гражданского кодекса Российской Федерации, Стороны пришли к соглашению об обмене документами, относящимися к заключению и исполнению н</w:t>
      </w: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астоящего Договора (за исключением претензий), в виде электронных образов в файлах формата PDF или JPEG, прикрепляемых к письму электронной почты или сообщению мессенджера с использованием адреса и телефона, указанных в настоящем Договоре, и последующей от</w:t>
      </w: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правкой почтой. При обмене документами, подписываемыми обеими Сторонами, Сторона, направившая подписанный электронный образ документа, обязуется в течение 3 (трех) рабочих дней направить другой стороне оригиналы документа почтой, а Сторона, получившая ориг</w:t>
      </w: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иналы документ почтой, обязуется в течение 3 (трех) рабочих дней рассмотреть и возвратить другой Стороне экземпляр оригинала документа почтой. Для выдача дубликата Договора Покупатель  направляет нарочным или почтой Продавцу 01 (один) подписанный со своей </w:t>
      </w: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стороны экземпляра оригинала Договора. Продавец возвращает  подписанный со своей стороны дубликат Договора Покупателю нарочным или почтой за счет Покупателя.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3"/>
        </w:numPr>
        <w:ind w:right="57" w:firstLine="794"/>
        <w:jc w:val="both"/>
        <w:shd w:val="clear" w:color="auto" w:fill="ffffff"/>
        <w:widowControl w:val="off"/>
        <w:tabs>
          <w:tab w:val="left" w:pos="1143" w:leader="none"/>
        </w:tabs>
        <w:rPr>
          <w:sz w:val="25"/>
          <w:szCs w:val="25"/>
        </w:rPr>
      </w:pPr>
      <w:r>
        <w:rPr>
          <w:rFonts w:cs="Times New Roman"/>
          <w:sz w:val="25"/>
          <w:szCs w:val="25"/>
        </w:rPr>
        <w:t xml:space="preserve">Во всем остальном, что не урегулировано настоящим Договором, Стороны руководствуются действующим з</w:t>
      </w:r>
      <w:r>
        <w:rPr>
          <w:rFonts w:cs="Times New Roman"/>
          <w:sz w:val="25"/>
          <w:szCs w:val="25"/>
        </w:rPr>
        <w:t xml:space="preserve">аконодательством Российской Федерации. 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numPr>
          <w:ilvl w:val="1"/>
          <w:numId w:val="3"/>
        </w:numPr>
        <w:ind w:right="57" w:firstLine="794"/>
        <w:jc w:val="both"/>
        <w:shd w:val="clear" w:color="auto" w:fill="ffffff"/>
        <w:widowControl w:val="off"/>
        <w:tabs>
          <w:tab w:val="left" w:pos="1143" w:leader="none"/>
        </w:tabs>
        <w:rPr>
          <w:sz w:val="25"/>
          <w:szCs w:val="25"/>
        </w:rPr>
      </w:pPr>
      <w:r>
        <w:rPr>
          <w:rFonts w:eastAsia="Times New Roman" w:cs="Times New Roman"/>
          <w:color w:val="000000"/>
          <w:spacing w:val="1"/>
          <w:sz w:val="25"/>
          <w:szCs w:val="25"/>
          <w:lang w:eastAsia="ru-RU" w:bidi="ar-SA"/>
        </w:rPr>
        <w:t xml:space="preserve">Договор составлен на русском языке и подписан в 02 (двух) идентичных экземплярах, имеющих одинаковую юридическую силу, по одному экземпляру для каждой из Сторон.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ind w:left="737" w:right="20"/>
        <w:jc w:val="both"/>
        <w:shd w:val="clear" w:color="auto" w:fill="ffffff"/>
        <w:widowControl w:val="off"/>
        <w:tabs>
          <w:tab w:val="left" w:pos="1143" w:leader="none"/>
        </w:tabs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</w:p>
    <w:p>
      <w:pPr>
        <w:ind w:right="20"/>
        <w:jc w:val="center"/>
        <w:shd w:val="clear" w:color="auto" w:fill="ffffff"/>
        <w:widowControl w:val="off"/>
        <w:tabs>
          <w:tab w:val="left" w:pos="1143" w:leader="none"/>
        </w:tabs>
        <w:rPr>
          <w:sz w:val="25"/>
          <w:szCs w:val="25"/>
        </w:rPr>
      </w:pPr>
      <w:r>
        <w:rPr>
          <w:rFonts w:cs="Times New Roman"/>
          <w:sz w:val="25"/>
          <w:szCs w:val="25"/>
        </w:rPr>
        <w:t xml:space="preserve">12. АДРЕСА И РЕКВИЗИТЫ СТОРОН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center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  <w:r>
        <w:rPr>
          <w:rFonts w:cs="Times New Roman"/>
          <w:sz w:val="25"/>
          <w:szCs w:val="25"/>
        </w:rPr>
      </w:r>
    </w:p>
    <w:tbl>
      <w:tblPr>
        <w:tblW w:w="5000" w:type="pct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874"/>
        <w:gridCol w:w="4875"/>
      </w:tblGrid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Покупатель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80"/>
              <w:jc w:val="center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Продавец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  <w:shd w:val="clear" w:color="auto" w:fill="e0c2cd"/>
              </w:rPr>
              <w:t xml:space="preserve">Фамилия Имя Отчество контрагента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Дата рождения: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Дата рождения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Место рождения: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Место рождения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Адрес регистрации: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Адрес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ИНН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Паспорт гражданина Российской Федерации серии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Серия</w:t>
            </w:r>
            <w:r>
              <w:rPr>
                <w:rFonts w:cs="Times New Roman"/>
                <w:sz w:val="25"/>
                <w:szCs w:val="25"/>
              </w:rPr>
              <w:t xml:space="preserve"> номер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Номер</w:t>
            </w:r>
            <w:r>
              <w:rPr>
                <w:rFonts w:cs="Times New Roman"/>
                <w:sz w:val="25"/>
                <w:szCs w:val="25"/>
              </w:rPr>
              <w:t xml:space="preserve"> выдан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Дата Орган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Банк. счет: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Банковский счет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Наи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менование банка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БИК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Корреспондентский счет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Тел.: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Телефон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E-mail: </w:t>
            </w:r>
            <w:r>
              <w:rPr>
                <w:rFonts w:cs="Times New Roman"/>
                <w:sz w:val="25"/>
                <w:szCs w:val="25"/>
                <w:shd w:val="clear" w:color="auto" w:fill="e0c2cd"/>
              </w:rPr>
              <w:t xml:space="preserve">Электронная почта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предприниматель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Балаев Рауф Эльчин оглы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ОГРНИП: 320370200030002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ИНН: 370259241800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Почт. адрес: 107497</w:t>
            </w:r>
            <w:r>
              <w:rPr>
                <w:rFonts w:cs="Times New Roman"/>
                <w:color w:val="333333"/>
                <w:sz w:val="25"/>
                <w:szCs w:val="25"/>
              </w:rPr>
              <w:t xml:space="preserve">, </w:t>
            </w:r>
            <w:r>
              <w:rPr>
                <w:rFonts w:cs="Times New Roman"/>
                <w:sz w:val="25"/>
                <w:szCs w:val="25"/>
              </w:rPr>
              <w:t xml:space="preserve">г. Москва, ул. Амурская, д. 9/6, стр. </w:t>
            </w:r>
            <w:r>
              <w:rPr>
                <w:rFonts w:cs="Times New Roman"/>
                <w:sz w:val="25"/>
                <w:szCs w:val="25"/>
              </w:rPr>
              <w:t xml:space="preserve">9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Расч. счет: 40802 81010 00016 21132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Банк: АО «Тинькофф Банк» г. Москва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БИК: 044525974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Корр. счет: 30101 81014 52500 00974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rPr>
                <w:sz w:val="25"/>
                <w:szCs w:val="25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 xml:space="preserve">E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-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mail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: </w:t>
            </w:r>
            <w:r>
              <w:rPr>
                <w:rFonts w:cs="Times New Roman"/>
                <w:sz w:val="25"/>
                <w:szCs w:val="25"/>
                <w:lang w:val="en-US"/>
              </w:rPr>
              <w:t xml:space="preserve">shop@bendstom.com, partners@bendstom.com, head@bendstom.com</w:t>
            </w:r>
            <w:r>
              <w:rPr>
                <w:sz w:val="25"/>
                <w:szCs w:val="25"/>
                <w:lang w:val="en-US"/>
              </w:rPr>
            </w:r>
            <w:r>
              <w:rPr>
                <w:sz w:val="25"/>
                <w:szCs w:val="25"/>
                <w:lang w:val="en-US"/>
              </w:rPr>
            </w:r>
          </w:p>
          <w:p>
            <w:pPr>
              <w:pStyle w:val="880"/>
              <w:rPr>
                <w:rFonts w:cs="Times New Roman"/>
                <w:sz w:val="25"/>
                <w:szCs w:val="25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</w:r>
            <w:r>
              <w:rPr>
                <w:sz w:val="25"/>
                <w:szCs w:val="25"/>
                <w:lang w:val="en-US"/>
              </w:rPr>
            </w:r>
            <w:r>
              <w:rPr>
                <w:sz w:val="25"/>
                <w:szCs w:val="25"/>
                <w:lang w:val="en-US"/>
              </w:rPr>
            </w:r>
          </w:p>
          <w:p>
            <w:pPr>
              <w:pStyle w:val="880"/>
              <w:jc w:val="both"/>
              <w:rPr>
                <w:rFonts w:cs="Times New Roman"/>
                <w:sz w:val="25"/>
                <w:szCs w:val="25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  <w:r>
              <w:rPr>
                <w:rFonts w:cs="Times New Roman"/>
                <w:sz w:val="25"/>
                <w:szCs w:val="25"/>
                <w:lang w:val="en-US"/>
              </w:rPr>
            </w:r>
          </w:p>
          <w:p>
            <w:pPr>
              <w:pStyle w:val="880"/>
              <w:jc w:val="both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  <w:shd w:val="clear" w:color="auto" w:fill="e0c2cd"/>
              </w:rPr>
              <w:t xml:space="preserve">Инициалы Фамилия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pStyle w:val="880"/>
              <w:jc w:val="both"/>
              <w:rPr>
                <w:sz w:val="25"/>
                <w:szCs w:val="25"/>
              </w:rPr>
            </w:pPr>
            <w:r>
              <w:rPr>
                <w:rFonts w:cs="Times New Roman"/>
                <w:b/>
                <w:bCs/>
                <w:sz w:val="25"/>
                <w:szCs w:val="25"/>
              </w:rPr>
              <w:t xml:space="preserve">Индивидуальный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предприниматель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  <w:p>
            <w:pPr>
              <w:pStyle w:val="880"/>
              <w:jc w:val="both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_________________ </w:t>
            </w:r>
            <w:r>
              <w:rPr>
                <w:rFonts w:cs="Times New Roman"/>
                <w:b/>
                <w:bCs/>
                <w:sz w:val="25"/>
                <w:szCs w:val="25"/>
              </w:rPr>
              <w:t xml:space="preserve">Р.Э.о. Балаев</w:t>
            </w:r>
            <w:r>
              <w:rPr>
                <w:sz w:val="25"/>
                <w:szCs w:val="25"/>
              </w:rPr>
            </w:r>
            <w:r>
              <w:rPr>
                <w:sz w:val="25"/>
                <w:szCs w:val="25"/>
              </w:rPr>
            </w:r>
          </w:p>
          <w:p>
            <w:pPr>
              <w:pStyle w:val="880"/>
              <w:jc w:val="both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  <w:r>
              <w:rPr>
                <w:rFonts w:cs="Times New Roman"/>
                <w:sz w:val="25"/>
                <w:szCs w:val="25"/>
              </w:rPr>
            </w:r>
          </w:p>
        </w:tc>
      </w:tr>
    </w:tbl>
    <w:p>
      <w:pPr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jc w:val="center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>
        <w:rPr>
          <w:sz w:val="25"/>
          <w:szCs w:val="25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850" w:bottom="850" w:left="141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Noto Sans CJK SC">
    <w:panose1 w:val="05040102010807070707"/>
  </w:font>
  <w:font w:name="Arial">
    <w:panose1 w:val="020B0604020202020204"/>
  </w:font>
  <w:font w:name="Noto Serif CJK SC">
    <w:panose1 w:val="05040102010807070707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</w:pPr>
    <w:fldSimple w:instr="PAGE \* MERGEFORMAT">
      <w:r>
        <w:t xml:space="preserve">1</w:t>
      </w:r>
    </w:fldSimple>
    <w:r/>
    <w:r/>
  </w:p>
  <w:p>
    <w:pPr>
      <w:pStyle w:val="8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1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1"/>
        <w:szCs w:val="21"/>
        <w:u w:val="none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1"/>
        <w:sz w:val="24"/>
        <w:szCs w:val="24"/>
        <w:u w:val="none"/>
        <w:lang w:val="ru-RU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erif CJK SC" w:cs="Lohit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No Spacing"/>
    <w:uiPriority w:val="1"/>
    <w:qFormat/>
    <w:pPr>
      <w:spacing w:before="0" w:after="0" w:line="240" w:lineRule="auto"/>
    </w:pPr>
  </w:style>
  <w:style w:type="paragraph" w:styleId="711">
    <w:name w:val="Title"/>
    <w:basedOn w:val="867"/>
    <w:next w:val="867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8"/>
    <w:link w:val="711"/>
    <w:uiPriority w:val="10"/>
    <w:rPr>
      <w:sz w:val="48"/>
      <w:szCs w:val="48"/>
    </w:rPr>
  </w:style>
  <w:style w:type="paragraph" w:styleId="713">
    <w:name w:val="Subtitle"/>
    <w:basedOn w:val="867"/>
    <w:next w:val="867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8"/>
    <w:link w:val="713"/>
    <w:uiPriority w:val="11"/>
    <w:rPr>
      <w:sz w:val="24"/>
      <w:szCs w:val="24"/>
    </w:rPr>
  </w:style>
  <w:style w:type="paragraph" w:styleId="715">
    <w:name w:val="Quote"/>
    <w:basedOn w:val="867"/>
    <w:next w:val="867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7"/>
    <w:next w:val="867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paragraph" w:styleId="719">
    <w:name w:val="Header"/>
    <w:basedOn w:val="8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Header Char"/>
    <w:basedOn w:val="868"/>
    <w:link w:val="719"/>
    <w:uiPriority w:val="99"/>
  </w:style>
  <w:style w:type="character" w:styleId="721">
    <w:name w:val="Footer Char"/>
    <w:basedOn w:val="868"/>
    <w:link w:val="887"/>
    <w:uiPriority w:val="99"/>
  </w:style>
  <w:style w:type="character" w:styleId="722">
    <w:name w:val="Caption Char"/>
    <w:basedOn w:val="878"/>
    <w:link w:val="887"/>
    <w:uiPriority w:val="99"/>
  </w:style>
  <w:style w:type="table" w:styleId="723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character" w:styleId="871" w:customStyle="1">
    <w:name w:val="Основной текст_"/>
    <w:basedOn w:val="868"/>
    <w:link w:val="882"/>
    <w:qFormat/>
    <w:rPr>
      <w:rFonts w:eastAsia="Times New Roman" w:cs="Times New Roman"/>
      <w:spacing w:val="1"/>
      <w:sz w:val="20"/>
      <w:szCs w:val="20"/>
      <w:shd w:val="clear" w:color="auto" w:fill="ffffff"/>
    </w:rPr>
  </w:style>
  <w:style w:type="character" w:styleId="872" w:customStyle="1">
    <w:name w:val="Заголовок №2_"/>
    <w:basedOn w:val="868"/>
    <w:link w:val="883"/>
    <w:qFormat/>
    <w:rPr>
      <w:rFonts w:eastAsia="Times New Roman" w:cs="Times New Roman"/>
      <w:spacing w:val="1"/>
      <w:sz w:val="20"/>
      <w:szCs w:val="20"/>
      <w:shd w:val="clear" w:color="auto" w:fill="ffffff"/>
    </w:rPr>
  </w:style>
  <w:style w:type="character" w:styleId="873" w:customStyle="1">
    <w:name w:val="Заголовок №1_"/>
    <w:basedOn w:val="868"/>
    <w:link w:val="885"/>
    <w:qFormat/>
    <w:rPr>
      <w:rFonts w:eastAsia="Times New Roman" w:cs="Times New Roman"/>
      <w:spacing w:val="1"/>
      <w:sz w:val="20"/>
      <w:szCs w:val="20"/>
      <w:shd w:val="clear" w:color="auto" w:fill="ffffff"/>
    </w:rPr>
  </w:style>
  <w:style w:type="character" w:styleId="874" w:customStyle="1">
    <w:name w:val="Символ нумерации"/>
    <w:qFormat/>
  </w:style>
  <w:style w:type="paragraph" w:styleId="875" w:customStyle="1">
    <w:name w:val="Заголовок1"/>
    <w:basedOn w:val="867"/>
    <w:next w:val="876"/>
    <w:qFormat/>
    <w:pPr>
      <w:keepNext/>
      <w:spacing w:before="240" w:after="120"/>
    </w:pPr>
    <w:rPr>
      <w:rFonts w:eastAsia="Noto Sans CJK SC"/>
      <w:sz w:val="28"/>
      <w:szCs w:val="28"/>
    </w:rPr>
  </w:style>
  <w:style w:type="paragraph" w:styleId="876">
    <w:name w:val="Body Text"/>
    <w:basedOn w:val="867"/>
    <w:pPr>
      <w:spacing w:after="140" w:line="276" w:lineRule="auto"/>
    </w:pPr>
  </w:style>
  <w:style w:type="paragraph" w:styleId="877">
    <w:name w:val="List"/>
    <w:basedOn w:val="876"/>
  </w:style>
  <w:style w:type="paragraph" w:styleId="878">
    <w:name w:val="Caption"/>
    <w:basedOn w:val="867"/>
    <w:qFormat/>
    <w:pPr>
      <w:spacing w:before="120" w:after="120"/>
      <w:suppressLineNumbers/>
    </w:pPr>
    <w:rPr>
      <w:i/>
      <w:iCs/>
    </w:rPr>
  </w:style>
  <w:style w:type="paragraph" w:styleId="879">
    <w:name w:val="index heading"/>
    <w:basedOn w:val="867"/>
    <w:qFormat/>
    <w:pPr>
      <w:suppressLineNumbers/>
    </w:pPr>
  </w:style>
  <w:style w:type="paragraph" w:styleId="880" w:customStyle="1">
    <w:name w:val="Содержимое таблицы"/>
    <w:basedOn w:val="867"/>
    <w:qFormat/>
    <w:pPr>
      <w:widowControl w:val="off"/>
      <w:suppressLineNumbers/>
    </w:pPr>
  </w:style>
  <w:style w:type="paragraph" w:styleId="881" w:customStyle="1">
    <w:name w:val="Заголовок таблицы"/>
    <w:basedOn w:val="880"/>
    <w:qFormat/>
    <w:pPr>
      <w:jc w:val="center"/>
    </w:pPr>
    <w:rPr>
      <w:b/>
      <w:bCs/>
    </w:rPr>
  </w:style>
  <w:style w:type="paragraph" w:styleId="882" w:customStyle="1">
    <w:name w:val="Основной текст3"/>
    <w:basedOn w:val="867"/>
    <w:link w:val="871"/>
    <w:qFormat/>
    <w:pPr>
      <w:jc w:val="both"/>
      <w:spacing w:after="300" w:line="0" w:lineRule="atLeast"/>
      <w:shd w:val="clear" w:color="auto" w:fill="ffffff"/>
      <w:widowControl w:val="off"/>
    </w:pPr>
    <w:rPr>
      <w:rFonts w:eastAsia="Times New Roman" w:cs="Times New Roman"/>
      <w:spacing w:val="1"/>
      <w:sz w:val="20"/>
      <w:szCs w:val="20"/>
    </w:rPr>
  </w:style>
  <w:style w:type="paragraph" w:styleId="883" w:customStyle="1">
    <w:name w:val="Заголовок №2"/>
    <w:basedOn w:val="867"/>
    <w:link w:val="872"/>
    <w:qFormat/>
    <w:pPr>
      <w:spacing w:line="264" w:lineRule="exact"/>
      <w:shd w:val="clear" w:color="auto" w:fill="ffffff"/>
      <w:widowControl w:val="off"/>
      <w:outlineLvl w:val="1"/>
    </w:pPr>
    <w:rPr>
      <w:rFonts w:eastAsia="Times New Roman" w:cs="Times New Roman"/>
      <w:spacing w:val="1"/>
      <w:sz w:val="20"/>
      <w:szCs w:val="20"/>
    </w:rPr>
  </w:style>
  <w:style w:type="paragraph" w:styleId="884">
    <w:name w:val="List Paragraph"/>
    <w:basedOn w:val="867"/>
    <w:uiPriority w:val="34"/>
    <w:qFormat/>
    <w:pPr>
      <w:contextualSpacing/>
      <w:ind w:left="720"/>
      <w:widowControl w:val="off"/>
    </w:pPr>
    <w:rPr>
      <w:rFonts w:ascii="Courier New" w:hAnsi="Courier New" w:eastAsia="Courier New" w:cs="Courier New"/>
      <w:color w:val="000000"/>
      <w:lang w:eastAsia="ru-RU" w:bidi="ar-SA"/>
    </w:rPr>
  </w:style>
  <w:style w:type="paragraph" w:styleId="885" w:customStyle="1">
    <w:name w:val="Заголовок №1"/>
    <w:basedOn w:val="867"/>
    <w:link w:val="873"/>
    <w:qFormat/>
    <w:pPr>
      <w:jc w:val="both"/>
      <w:spacing w:line="264" w:lineRule="exact"/>
      <w:shd w:val="clear" w:color="auto" w:fill="ffffff"/>
      <w:widowControl w:val="off"/>
      <w:outlineLvl w:val="0"/>
    </w:pPr>
    <w:rPr>
      <w:rFonts w:eastAsia="Times New Roman" w:cs="Times New Roman"/>
      <w:spacing w:val="1"/>
      <w:sz w:val="20"/>
      <w:szCs w:val="20"/>
    </w:rPr>
  </w:style>
  <w:style w:type="paragraph" w:styleId="886" w:customStyle="1">
    <w:name w:val="Колонтитул"/>
    <w:basedOn w:val="867"/>
    <w:qFormat/>
  </w:style>
  <w:style w:type="paragraph" w:styleId="887">
    <w:name w:val="Footer"/>
    <w:basedOn w:val="88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ru-RU</dc:language>
  <cp:lastModifiedBy>Бендстом Руководство</cp:lastModifiedBy>
  <cp:revision>207</cp:revision>
  <dcterms:created xsi:type="dcterms:W3CDTF">2024-05-24T09:35:00Z</dcterms:created>
  <dcterms:modified xsi:type="dcterms:W3CDTF">2024-08-28T12:39:37Z</dcterms:modified>
</cp:coreProperties>
</file>